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3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9"/>
          <w:tab w:val="center" w:pos="46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spacing w:val="30"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b/>
          <w:spacing w:val="30"/>
          <w:sz w:val="44"/>
          <w:szCs w:val="44"/>
          <w:u w:val="none"/>
          <w:lang w:val="en-US" w:eastAsia="zh-CN"/>
        </w:rPr>
        <w:t>星辰在线户外广告牌报价表</w:t>
      </w:r>
    </w:p>
    <w:p>
      <w:pPr>
        <w:tabs>
          <w:tab w:val="left" w:pos="489"/>
          <w:tab w:val="center" w:pos="4677"/>
        </w:tabs>
        <w:jc w:val="center"/>
        <w:rPr>
          <w:rFonts w:hint="eastAsia" w:eastAsia="隶书"/>
          <w:b/>
          <w:spacing w:val="30"/>
          <w:sz w:val="18"/>
        </w:rPr>
      </w:pPr>
    </w:p>
    <w:p>
      <w:pPr>
        <w:numPr>
          <w:ilvl w:val="0"/>
          <w:numId w:val="0"/>
        </w:numPr>
        <w:rPr>
          <w:rFonts w:hint="eastAsia" w:ascii="楷体_GB2312" w:eastAsia="楷体_GB2312"/>
          <w:sz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单位：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万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元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/年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tbl>
      <w:tblPr>
        <w:tblStyle w:val="4"/>
        <w:tblW w:w="1031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373"/>
        <w:gridCol w:w="4952"/>
        <w:gridCol w:w="1199"/>
        <w:gridCol w:w="1238"/>
        <w:gridCol w:w="9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具体要求说明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三个三面翻立柱和一个双面立柱广告牌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长沙市芙蓉南路与雀园路交汇处三面翻立柱广告一个套面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远大路浏阳河桥头三面翻立柱广告一个套面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芙蓉北路浏阳河桥头三面翻立柱广告一个套面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和芙蓉北路与绕城高速交叉口双面立柱广告牌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。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标的不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可拆解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10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报价合计金额人民币（大写）：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地址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联系人及电话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：     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报价时间：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zVmYTgwZjdkZDhiNzgyMTNiNDI0YzEyNzQ0YTEifQ=="/>
  </w:docVars>
  <w:rsids>
    <w:rsidRoot w:val="16D91BB4"/>
    <w:rsid w:val="16D9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2025-08-26T06:19:00Z</dcterms:created>
  <dc:creator>丁辰欢</dc:creator>
  <cp:lastModifiedBy>丁辰欢</cp:lastModifiedBy>
  <dcterms:modified xsi:type="dcterms:W3CDTF">2025-08-26T06:20:10Z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33077B5F0C9141EB951AAF7515D1CAAA</vt:lpwstr>
  </property>
</Properties>
</file>