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届（202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年度）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</w:rPr>
        <w:t>湖南文艺评论推优活动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仿宋_GB2312" w:hAnsi="仿宋_GB2312" w:eastAsia="方正小标宋简体" w:cs="仿宋_GB2312"/>
          <w:b/>
          <w:bCs/>
          <w:spacing w:val="11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  <w:lang w:eastAsia="zh-CN"/>
        </w:rPr>
        <w:t>征集作品启事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86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为深入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学习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贯彻习近平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文化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思想和党的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“二十大和二十届历次全会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精神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遵循践行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习近平总书记关于文艺工作的重要论述和关于文艺评论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重要指示批示精神，按照中央《关于全国性文艺评奖制度改革的意见》和“做好文艺评论工作激励”的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部署，根据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中宣部等五部门联合印发的《关于加强新时代文艺评论工作的指导意见》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和《中国文联加强新时代文艺评论工作实施方案》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，以及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中国文联加强改进新时代文艺评论工作座谈会部署安排，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认真落实省委宣传部印发的《关于加强和改进新时代文艺评论工作的实施方案》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湖南省文联、湖南省评协决定共同主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办第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届（</w:t>
      </w:r>
      <w:r>
        <w:rPr>
          <w:rFonts w:hint="eastAsia" w:ascii="Times New Roman" w:hAnsi="Times New Roman" w:eastAsia="仿宋_GB2312" w:cs="仿宋_GB2312"/>
          <w:spacing w:val="11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pacing w:val="11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年度）湖南文艺评论推优活动。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84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1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1"/>
          <w:sz w:val="32"/>
          <w:szCs w:val="32"/>
        </w:rPr>
        <w:t>一、推优项目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本着注重导向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，着重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质量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宁缺毋滥的原则，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分设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3个项目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年度优秀文艺评论著作</w:t>
      </w:r>
      <w:r>
        <w:rPr>
          <w:rFonts w:hint="eastAsia" w:ascii="Times New Roman" w:hAnsi="Times New Roman" w:eastAsia="仿宋_GB2312" w:cs="仿宋_GB2312"/>
          <w:spacing w:val="11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部左右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年度优秀文艺评论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长评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文章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篇左右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11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年度优秀文艺评论短评文章</w:t>
      </w:r>
      <w:r>
        <w:rPr>
          <w:rFonts w:hint="eastAsia" w:ascii="Times New Roman" w:hAnsi="Times New Roman" w:eastAsia="仿宋_GB2312" w:cs="仿宋_GB2312"/>
          <w:spacing w:val="1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篇左右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84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1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1"/>
          <w:sz w:val="32"/>
          <w:szCs w:val="32"/>
        </w:rPr>
        <w:t>二、作品要求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11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作品必须坚持马克思主义文艺观，坚持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习近平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文化思想为指导，贯彻落实习近平总书记关于文艺评论重要指示批示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精神，见解独到、文风清新，在学术界、社会上产生较大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积极影响。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作品重点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阐释和评析新时代文艺理论、文艺作品、文艺现象、文艺思潮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，重点关注研究湖南作家作品、文艺创作，注重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针对性、当下性、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本土性、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时效性，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短评文章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字数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500—3000之间、长评文章不少于3000字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1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作品应为</w:t>
      </w:r>
      <w:r>
        <w:rPr>
          <w:rFonts w:hint="eastAsia" w:ascii="Times New Roman" w:hAnsi="Times New Roman" w:eastAsia="仿宋_GB2312" w:cs="仿宋_GB2312"/>
          <w:spacing w:val="11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pacing w:val="1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pacing w:val="11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pacing w:val="11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日至</w:t>
      </w:r>
      <w:r>
        <w:rPr>
          <w:rFonts w:hint="eastAsia" w:ascii="Times New Roman" w:hAnsi="Times New Roman" w:eastAsia="仿宋_GB2312" w:cs="仿宋_GB2312"/>
          <w:spacing w:val="11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pacing w:val="11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pacing w:val="11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pacing w:val="11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日内，在中国大陆（不含港澳台）正式首次公开出版发行的文艺评论著作（不含再版和修订版）和在报纸、杂志、图书上首次公开发表的文艺评论文章，应有标准书报号、刊号。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1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报送著作需提供原作</w:t>
      </w:r>
      <w:r>
        <w:rPr>
          <w:rFonts w:hint="eastAsia" w:ascii="Times New Roman" w:hAnsi="Times New Roman" w:eastAsia="仿宋_GB2312" w:cs="仿宋_GB2312"/>
          <w:spacing w:val="1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部；报送文章需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提供原作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1篇（或者含有该文的报刊书籍的报头、版权页，封面封底和目录正文复印件1份）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1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需附《</w:t>
      </w:r>
      <w:r>
        <w:rPr>
          <w:rFonts w:hint="eastAsia" w:ascii="Times New Roman" w:hAnsi="Times New Roman" w:eastAsia="仿宋_GB2312" w:cs="仿宋_GB2312"/>
          <w:spacing w:val="11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pacing w:val="11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年度湖南文艺评论推优活动参评表》</w:t>
      </w:r>
      <w:r>
        <w:rPr>
          <w:rFonts w:hint="eastAsia" w:ascii="Times New Roman" w:hAnsi="Times New Roman" w:eastAsia="仿宋_GB2312" w:cs="仿宋_GB2312"/>
          <w:spacing w:val="11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11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因人力有限，报送材料概不退回。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84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1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1"/>
          <w:sz w:val="32"/>
          <w:szCs w:val="32"/>
        </w:rPr>
        <w:t>三、报送截止日期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11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pacing w:val="11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日（以邮戳或寄出时间为准）。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84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11"/>
          <w:sz w:val="32"/>
          <w:szCs w:val="32"/>
        </w:rPr>
        <w:t>四、评审程序</w:t>
      </w:r>
      <w:r>
        <w:rPr>
          <w:rFonts w:hint="eastAsia" w:ascii="黑体" w:hAnsi="黑体" w:eastAsia="黑体" w:cs="黑体"/>
          <w:b w:val="0"/>
          <w:bCs w:val="0"/>
          <w:spacing w:val="11"/>
          <w:sz w:val="32"/>
          <w:szCs w:val="32"/>
          <w:lang w:eastAsia="zh-CN"/>
        </w:rPr>
        <w:t>纪律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本次推优活动分为审核、评审、终评环节。秉持公平、公正、公开原则。实行回避制度。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湖南省评协主席团成员、省文联领导原则上不参加湖南年度推优，最近两届（第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届、第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届）获优的原则上不参加本次年度推优。同等条件下向基层倾斜，新文艺群体和青年文艺评论工作者优先。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接受各方面全程监督。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84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1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1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pacing w:val="11"/>
          <w:sz w:val="32"/>
          <w:szCs w:val="32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鲁慧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 xml:space="preserve"> 13975876280，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胡什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 xml:space="preserve"> 13875988691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电子邮箱：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instrText xml:space="preserve"> HYPERLINK "mailto:hnswypljxh@126.com" </w:instrTex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pacing w:val="11"/>
          <w:sz w:val="32"/>
          <w:szCs w:val="32"/>
        </w:rPr>
        <w:t>hnswypljxh@</w:t>
      </w:r>
      <w:r>
        <w:rPr>
          <w:rStyle w:val="5"/>
          <w:rFonts w:hint="eastAsia" w:ascii="Times New Roman" w:hAnsi="Times New Roman" w:eastAsia="仿宋_GB2312" w:cs="仿宋_GB2312"/>
          <w:spacing w:val="11"/>
          <w:sz w:val="32"/>
          <w:szCs w:val="32"/>
        </w:rPr>
        <w:t>126</w:t>
      </w:r>
      <w:r>
        <w:rPr>
          <w:rStyle w:val="5"/>
          <w:rFonts w:hint="eastAsia" w:ascii="仿宋_GB2312" w:hAnsi="仿宋_GB2312" w:eastAsia="仿宋_GB2312" w:cs="仿宋_GB2312"/>
          <w:spacing w:val="11"/>
          <w:sz w:val="32"/>
          <w:szCs w:val="32"/>
        </w:rPr>
        <w:t>.com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第八届（</w:t>
      </w:r>
      <w:r>
        <w:rPr>
          <w:rFonts w:hint="eastAsia" w:ascii="Times New Roman" w:hAnsi="Times New Roman" w:eastAsia="仿宋_GB2312" w:cs="仿宋_GB2312"/>
          <w:spacing w:val="11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pacing w:val="11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湖南文艺评论推优活动参评表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1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 xml:space="preserve">湖南省文学艺术界联合会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84" w:firstLineChars="200"/>
        <w:jc w:val="both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仿宋_GB2312"/>
          <w:spacing w:val="11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pacing w:val="11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11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11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11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11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11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11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11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11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11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11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11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11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11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11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32"/>
          <w:szCs w:val="32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32"/>
          <w:szCs w:val="32"/>
          <w:lang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32"/>
          <w:szCs w:val="32"/>
        </w:rPr>
        <w:t>届（202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32"/>
          <w:szCs w:val="32"/>
        </w:rPr>
        <w:t>年度）湖南文艺评论推优活动参评表</w:t>
      </w:r>
    </w:p>
    <w:tbl>
      <w:tblPr>
        <w:tblStyle w:val="3"/>
        <w:tblpPr w:leftFromText="180" w:rightFromText="180" w:vertAnchor="text" w:horzAnchor="page" w:tblpXSpec="center" w:tblpY="187"/>
        <w:tblOverlap w:val="never"/>
        <w:tblW w:w="9599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201"/>
        <w:gridCol w:w="1163"/>
        <w:gridCol w:w="1380"/>
        <w:gridCol w:w="1930"/>
        <w:gridCol w:w="1233"/>
        <w:gridCol w:w="8"/>
        <w:gridCol w:w="149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74" w:hRule="atLeast"/>
        </w:trPr>
        <w:tc>
          <w:tcPr>
            <w:tcW w:w="2388" w:type="dxa"/>
            <w:gridSpan w:val="2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作品名称</w:t>
            </w:r>
          </w:p>
        </w:tc>
        <w:tc>
          <w:tcPr>
            <w:tcW w:w="7211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722" w:hRule="atLeast"/>
        </w:trPr>
        <w:tc>
          <w:tcPr>
            <w:tcW w:w="2388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作品类别</w:t>
            </w:r>
          </w:p>
        </w:tc>
        <w:tc>
          <w:tcPr>
            <w:tcW w:w="7211" w:type="dxa"/>
            <w:gridSpan w:val="6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524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 xml:space="preserve">著作类（     ） 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  <w:lang w:eastAsia="zh-CN"/>
              </w:rPr>
              <w:t>长评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类（      ）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  <w:lang w:eastAsia="zh-CN"/>
              </w:rPr>
              <w:t>短评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类（  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注：请在作品类别处打“√”。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722" w:hRule="atLeast"/>
        </w:trPr>
        <w:tc>
          <w:tcPr>
            <w:tcW w:w="2388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发表/出版时间</w:t>
            </w:r>
          </w:p>
        </w:tc>
        <w:tc>
          <w:tcPr>
            <w:tcW w:w="7211" w:type="dxa"/>
            <w:gridSpan w:val="6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45" w:hRule="atLeast"/>
        </w:trPr>
        <w:tc>
          <w:tcPr>
            <w:tcW w:w="2388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出处/出版社</w:t>
            </w:r>
          </w:p>
        </w:tc>
        <w:tc>
          <w:tcPr>
            <w:tcW w:w="7211" w:type="dxa"/>
            <w:gridSpan w:val="6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722" w:hRule="atLeast"/>
        </w:trPr>
        <w:tc>
          <w:tcPr>
            <w:tcW w:w="2388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作者姓名</w:t>
            </w:r>
          </w:p>
        </w:tc>
        <w:tc>
          <w:tcPr>
            <w:tcW w:w="11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笔    名</w:t>
            </w:r>
          </w:p>
        </w:tc>
        <w:tc>
          <w:tcPr>
            <w:tcW w:w="1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性  别</w:t>
            </w:r>
          </w:p>
        </w:tc>
        <w:tc>
          <w:tcPr>
            <w:tcW w:w="15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14" w:hRule="atLeast"/>
        </w:trPr>
        <w:tc>
          <w:tcPr>
            <w:tcW w:w="23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出生年月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政治面貌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民  族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45" w:hRule="atLeast"/>
        </w:trPr>
        <w:tc>
          <w:tcPr>
            <w:tcW w:w="23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身份证号码</w:t>
            </w:r>
          </w:p>
        </w:tc>
        <w:tc>
          <w:tcPr>
            <w:tcW w:w="72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722" w:hRule="atLeast"/>
        </w:trPr>
        <w:tc>
          <w:tcPr>
            <w:tcW w:w="23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工作单位及职务</w:t>
            </w:r>
          </w:p>
        </w:tc>
        <w:tc>
          <w:tcPr>
            <w:tcW w:w="4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职 称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45" w:hRule="atLeast"/>
        </w:trPr>
        <w:tc>
          <w:tcPr>
            <w:tcW w:w="23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联系电话</w:t>
            </w:r>
          </w:p>
        </w:tc>
        <w:tc>
          <w:tcPr>
            <w:tcW w:w="72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45" w:hRule="atLeast"/>
        </w:trPr>
        <w:tc>
          <w:tcPr>
            <w:tcW w:w="23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电子邮箱</w:t>
            </w:r>
          </w:p>
        </w:tc>
        <w:tc>
          <w:tcPr>
            <w:tcW w:w="72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722" w:hRule="atLeast"/>
        </w:trPr>
        <w:tc>
          <w:tcPr>
            <w:tcW w:w="23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通信地址</w:t>
            </w:r>
          </w:p>
        </w:tc>
        <w:tc>
          <w:tcPr>
            <w:tcW w:w="4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微 信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21" w:hRule="atLeast"/>
        </w:trPr>
        <w:tc>
          <w:tcPr>
            <w:tcW w:w="493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主要从事何种艺术门类的文艺评论</w:t>
            </w:r>
          </w:p>
        </w:tc>
        <w:tc>
          <w:tcPr>
            <w:tcW w:w="4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62" w:hRule="atLeast"/>
        </w:trPr>
        <w:tc>
          <w:tcPr>
            <w:tcW w:w="21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推荐单位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作者签名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884" w:hRule="atLeast"/>
        </w:trPr>
        <w:tc>
          <w:tcPr>
            <w:tcW w:w="9599" w:type="dxa"/>
            <w:gridSpan w:val="8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推优单位意见及公章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（盖 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228" w:firstLineChars="1400"/>
        <w:jc w:val="left"/>
        <w:textAlignment w:val="auto"/>
        <w:rPr>
          <w:rFonts w:hint="default" w:ascii="仿宋_GB2312" w:hAnsi="仿宋_GB2312" w:eastAsia="仿宋_GB2312" w:cs="仿宋_GB2312"/>
          <w:spacing w:val="11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28"/>
          <w:szCs w:val="28"/>
        </w:rPr>
        <w:t>湖南省文学艺术界联合会 制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5933" w:leftChars="2697" w:firstLine="906" w:firstLineChars="300"/>
        <w:jc w:val="both"/>
        <w:textAlignment w:val="auto"/>
      </w:pPr>
      <w:r>
        <w:rPr>
          <w:rFonts w:hint="eastAsia" w:ascii="Times New Roman" w:hAnsi="Times New Roman" w:eastAsia="仿宋_GB2312" w:cs="仿宋_GB2312"/>
          <w:spacing w:val="11"/>
          <w:sz w:val="28"/>
          <w:szCs w:val="28"/>
        </w:rPr>
        <w:t>202</w:t>
      </w:r>
      <w:r>
        <w:rPr>
          <w:rFonts w:hint="eastAsia" w:ascii="Times New Roman" w:hAnsi="Times New Roman" w:eastAsia="仿宋_GB2312" w:cs="仿宋_GB2312"/>
          <w:spacing w:val="11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</w:rPr>
        <w:t>月</w:t>
      </w:r>
    </w:p>
    <w:sectPr>
      <w:footerReference r:id="rId5" w:type="default"/>
      <w:pgSz w:w="11906" w:h="16838"/>
      <w:pgMar w:top="1871" w:right="1474" w:bottom="1871" w:left="1587" w:header="708" w:footer="709" w:gutter="0"/>
      <w:pgNumType w:fmt="decimal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C9A967"/>
    <w:rsid w:val="1D6FDB36"/>
    <w:rsid w:val="35BEAEB5"/>
    <w:rsid w:val="476B8B3B"/>
    <w:rsid w:val="4BB5FB6C"/>
    <w:rsid w:val="5BFC560E"/>
    <w:rsid w:val="5C6DCAC1"/>
    <w:rsid w:val="5FFF6F14"/>
    <w:rsid w:val="63BFE7AE"/>
    <w:rsid w:val="75A112B6"/>
    <w:rsid w:val="77EB7A42"/>
    <w:rsid w:val="7BDF8E2F"/>
    <w:rsid w:val="7DA129BA"/>
    <w:rsid w:val="7FEF5AD1"/>
    <w:rsid w:val="BA7B23C6"/>
    <w:rsid w:val="C3ECBBA5"/>
    <w:rsid w:val="D5A696B9"/>
    <w:rsid w:val="DCE7A577"/>
    <w:rsid w:val="DCEFCA1D"/>
    <w:rsid w:val="DFBDE9D1"/>
    <w:rsid w:val="EABDDF69"/>
    <w:rsid w:val="ECF9B7F1"/>
    <w:rsid w:val="EE8DAA37"/>
    <w:rsid w:val="EFC9A967"/>
    <w:rsid w:val="EFDB890B"/>
    <w:rsid w:val="F7BE6B30"/>
    <w:rsid w:val="F7CFF04E"/>
    <w:rsid w:val="F86FB500"/>
    <w:rsid w:val="FDFF46FE"/>
    <w:rsid w:val="FF59CC73"/>
    <w:rsid w:val="FFFFB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2023-08-14T15:18:00Z</dcterms:created>
  <dc:creator>xjkp</dc:creator>
  <cp:lastModifiedBy>xjkp</cp:lastModifiedBy>
  <cp:lastPrinted>2025-08-19T10:51:00Z</cp:lastPrinted>
  <dcterms:modified xsi:type="dcterms:W3CDTF">2026-07-08T16:41:49Z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