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年度长沙市文化产业“四雁引领”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白名单企业申报表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default" w:ascii="Times New Roman" w:hAnsi="Times New Roman" w:cs="Times New Roman"/>
          <w:sz w:val="21"/>
          <w:highlight w:val="none"/>
        </w:rPr>
      </w:pPr>
    </w:p>
    <w:p>
      <w:pPr>
        <w:pStyle w:val="8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textAlignment w:val="baseline"/>
        <w:rPr>
          <w:rFonts w:hint="default" w:ascii="Times New Roman" w:hAnsi="Times New Roman" w:cs="Times New Roman"/>
          <w:sz w:val="22"/>
          <w:szCs w:val="22"/>
          <w:highlight w:val="none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051"/>
        <w:gridCol w:w="301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申报类别</w:t>
            </w:r>
          </w:p>
        </w:tc>
        <w:tc>
          <w:tcPr>
            <w:tcW w:w="3051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val="en-US" w:eastAsia="zh-CN"/>
              </w:rPr>
              <w:t>头雁企业</w:t>
            </w:r>
          </w:p>
        </w:tc>
        <w:tc>
          <w:tcPr>
            <w:tcW w:w="3017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firstLine="35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u w:val="none" w:color="auto"/>
                <w:lang w:val="en-US" w:eastAsia="zh-CN"/>
              </w:rPr>
              <w:t>海雁企业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vMerge w:val="continue"/>
            <w:tcBorders>
              <w:top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val="en-US" w:eastAsia="zh-CN"/>
              </w:rPr>
              <w:t>新雁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32"/>
                <w:szCs w:val="32"/>
                <w:highlight w:val="none"/>
                <w:u w:val="none" w:color="auto"/>
                <w:lang w:val="en-US" w:eastAsia="zh-CN"/>
              </w:rPr>
              <w:t>企业</w:t>
            </w:r>
          </w:p>
        </w:tc>
        <w:tc>
          <w:tcPr>
            <w:tcW w:w="30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 w:firstLine="35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21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pacing w:val="15"/>
                <w:sz w:val="32"/>
                <w:szCs w:val="32"/>
                <w:highlight w:val="none"/>
                <w:u w:val="none" w:color="auto"/>
                <w:lang w:val="en-US" w:eastAsia="zh-CN"/>
              </w:rPr>
              <w:t>雁阵基地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</w:rPr>
              <w:t>申报单位</w:t>
            </w:r>
          </w:p>
        </w:tc>
        <w:tc>
          <w:tcPr>
            <w:tcW w:w="60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ind w:right="584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2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</w:rPr>
              <w:t>填表日期</w:t>
            </w:r>
          </w:p>
        </w:tc>
        <w:tc>
          <w:tcPr>
            <w:tcW w:w="60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ind w:right="58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60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ind w:right="58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1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760" w:lineRule="exact"/>
        <w:ind w:right="585" w:firstLine="556" w:firstLineChars="200"/>
        <w:jc w:val="center"/>
        <w:textAlignment w:val="baseline"/>
        <w:rPr>
          <w:rFonts w:hint="default" w:ascii="Times New Roman" w:hAnsi="Times New Roman" w:eastAsia="仿宋" w:cs="Times New Roman"/>
          <w:spacing w:val="-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21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8"/>
        <w:rPr>
          <w:rFonts w:hint="default" w:ascii="Times New Roman" w:hAnsi="Times New Roman" w:eastAsia="仿宋" w:cs="Times New Roman"/>
          <w:spacing w:val="-21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楷体" w:cs="Times New Roman"/>
          <w:spacing w:val="-21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pacing w:val="0"/>
          <w:w w:val="100"/>
          <w:sz w:val="32"/>
          <w:szCs w:val="32"/>
          <w:highlight w:val="none"/>
          <w:lang w:val="en-US" w:eastAsia="zh-CN"/>
        </w:rPr>
        <w:t>中共长沙市委宣传部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楷体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楷体" w:cs="Times New Roman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  <w:t>月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楷体" w:cs="Times New Roman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beforeLines="80" w:after="251" w:afterLines="80" w:line="240" w:lineRule="auto"/>
        <w:jc w:val="left"/>
        <w:textAlignment w:val="baseline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一、申报单位基本信息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775"/>
        <w:gridCol w:w="975"/>
        <w:gridCol w:w="970"/>
        <w:gridCol w:w="1039"/>
        <w:gridCol w:w="654"/>
        <w:gridCol w:w="1357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注册地址</w:t>
            </w:r>
          </w:p>
        </w:tc>
        <w:tc>
          <w:tcPr>
            <w:tcW w:w="70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注册日期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营业代码</w:t>
            </w:r>
          </w:p>
        </w:tc>
        <w:tc>
          <w:tcPr>
            <w:tcW w:w="3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行业类别</w:t>
            </w:r>
          </w:p>
        </w:tc>
        <w:tc>
          <w:tcPr>
            <w:tcW w:w="701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文化服务业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文化批零业  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文化制造业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 xml:space="preserve">二、申报单位经营情况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tcBorders>
              <w:top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beforeLines="20" w:line="240" w:lineRule="auto"/>
              <w:ind w:firstLine="0" w:firstLineChars="0"/>
              <w:jc w:val="center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  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beforeLines="30" w:line="240" w:lineRule="auto"/>
              <w:ind w:firstLine="720" w:firstLineChars="30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 份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资产总额（万元）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负债总额（万元）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41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41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41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营业收入（万元）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利润总额（万元）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纳税总额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年末在岗人数</w:t>
            </w:r>
          </w:p>
        </w:tc>
        <w:tc>
          <w:tcPr>
            <w:tcW w:w="20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left"/>
        <w:textAlignment w:val="baseline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申报具体条件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1.头雁企业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（申报“头雁”企业填写该部分，请在需选填部分前打√）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757"/>
        <w:gridCol w:w="419"/>
        <w:gridCol w:w="20"/>
        <w:gridCol w:w="1318"/>
        <w:gridCol w:w="627"/>
        <w:gridCol w:w="251"/>
        <w:gridCol w:w="879"/>
        <w:gridCol w:w="1317"/>
        <w:gridCol w:w="148"/>
        <w:gridCol w:w="29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（一）申报基本条件（需满足以下条件之一）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A股</w:t>
            </w:r>
            <w:r>
              <w:rPr>
                <w:rFonts w:hint="eastAsia" w:ascii="Times New Roman" w:hAnsi="Times New Roman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或境外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上市文化企业；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 xml:space="preserve">引进的世界500强；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引进的全国文化企业30强；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引进的上市文化企业湖南总部；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5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当年度入选长沙上市后备企业名录的文化企业；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</w:rPr>
              <w:t>上年度营收1亿元以上的文化服务业/批零业企业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</w:rPr>
              <w:t>营收5亿元以上的文化制造业企业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（二）入选竞争条件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（所提交佐证资料时间期限为2022年-2023年6月）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重大项目投资情况（投资1000万元及以上的开竣工及在建项目）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重大项目投资数量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688" w:hRule="atLeast"/>
          <w:jc w:val="center"/>
        </w:trPr>
        <w:tc>
          <w:tcPr>
            <w:tcW w:w="8787" w:type="dxa"/>
            <w:gridSpan w:val="11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重大项目投资简介：（包括项目名称、项目开竣工、在建时间，投资及项目建设内容）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数字化赋能方面突出成果情况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591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案例简介：（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利用5G、人工智能、物联网、大数据、云计算、虚拟现实、增强现实、北斗导航、区块链等信息技术，在文化和旅游领域创新应用的示范案例。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案例应基于新技术与文化和旅游的融合，形成了新业务、新模式、新业态等创新应用，在行业内具有一定影响力）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3.在版权创造转化和精品力作创作方面重大贡献情况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3.1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企业拥有专利、版权（软件著作权）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发明专利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外观设计专利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软件著作权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是否认定为高新技术企业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3.2 专利、版权（软件著作权）转化情况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包括专利、版权（软件著作权）转化的项目投入、运营及市场盈利情况介绍。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 精品力作创作获得国家部委奖项情况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作品名称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奖项名称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颁奖国家部委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精品力作创作项目简介：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2.新雁企业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（申报“新雁”企业填写该部分，请在需选填部分前打√）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757"/>
        <w:gridCol w:w="419"/>
        <w:gridCol w:w="20"/>
        <w:gridCol w:w="1318"/>
        <w:gridCol w:w="627"/>
        <w:gridCol w:w="251"/>
        <w:gridCol w:w="879"/>
        <w:gridCol w:w="1317"/>
        <w:gridCol w:w="148"/>
        <w:gridCol w:w="29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（一）申报基本条件（需满足以下条件之一）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</w:rPr>
              <w:t>当年度入选长沙上市后备企业名录的文化企业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</w:rPr>
              <w:t>上年度营收2000万元以上文化服务业/批零业企业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5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上年度营收2亿元以上的文化制造业企业。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（二）入选竞争条件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（所提交佐证资料时间期限为2022年-2023年6月）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重大项目投资情况（投资1000万元及以上的开竣工、在建项目）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重大项目投资数量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688" w:hRule="atLeast"/>
          <w:jc w:val="center"/>
        </w:trPr>
        <w:tc>
          <w:tcPr>
            <w:tcW w:w="8787" w:type="dxa"/>
            <w:gridSpan w:val="11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重大项目投资简介：（包括项目名称、项目开竣工、在建时间，投资及项目建设内容）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数字化赋能方面突出成果情况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591" w:type="dxa"/>
            <w:gridSpan w:val="8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案例简介：（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利用5G、人工智能、物联网、大数据、云计算、虚拟现实、增强现实、北斗导航、区块链等信息技术，在文化和旅游领域创新应用的示范案例。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案例应基于新技术与文化和旅游的融合，形成了新业务、新模式、新业态等创新应用，在行业内具有一定影响力）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3.在版权创造转化和精品力作创作方面重大贡献情况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3.1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企业拥有专利、版权（软件著作权）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发明专利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外观设计专利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软件著作权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是否认定为高新技术企业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3.2 专利、版权（软件著作权）转化情况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包括专利、版权（软件著作权）转化的项目投入、运营及市场盈利情况介绍。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 精品力作创作获得国家部委奖项情况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作品名称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奖项名称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颁奖国家部委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11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精品力作创作项目简介：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/>
        <w:jc w:val="left"/>
        <w:textAlignment w:val="baseline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3.海雁企业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（申报“海雁”企业填写该部分，请在需选填部分前打√）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"/>
        <w:gridCol w:w="4386"/>
        <w:gridCol w:w="437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trHeight w:val="567" w:hRule="atLeast"/>
          <w:jc w:val="center"/>
        </w:trPr>
        <w:tc>
          <w:tcPr>
            <w:tcW w:w="8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（一）申报基本条件（需满足以下条件之一）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jc w:val="center"/>
        </w:trPr>
        <w:tc>
          <w:tcPr>
            <w:tcW w:w="877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7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年入选国家文化出口重点企业和重点项目名单的文化企业；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70" w:firstLineChars="100"/>
              <w:textAlignment w:val="auto"/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11"/>
                <w:sz w:val="24"/>
                <w:szCs w:val="24"/>
                <w:highlight w:val="none"/>
                <w:lang w:eastAsia="zh-CN"/>
              </w:rPr>
              <w:t>近两年入选“一带一路”文化产业和旅游产业国际合作重点项目名单的文创企业；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7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上年度文化产品出口1000万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文化企业；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27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上年度文化服务出口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500万元以上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的文化企业；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trHeight w:val="567" w:hRule="atLeast"/>
          <w:jc w:val="center"/>
        </w:trPr>
        <w:tc>
          <w:tcPr>
            <w:tcW w:w="8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（二）企业上年度出口总量及增幅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trHeight w:val="567" w:hRule="atLeast"/>
          <w:jc w:val="center"/>
        </w:trPr>
        <w:tc>
          <w:tcPr>
            <w:tcW w:w="4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上年度出口总量（万元）</w:t>
            </w:r>
          </w:p>
        </w:tc>
        <w:tc>
          <w:tcPr>
            <w:tcW w:w="4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上年度出口总量增幅（%）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trHeight w:val="567" w:hRule="atLeast"/>
          <w:jc w:val="center"/>
        </w:trPr>
        <w:tc>
          <w:tcPr>
            <w:tcW w:w="4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wBefore w:w="15" w:type="dxa"/>
          <w:trHeight w:val="567" w:hRule="atLeast"/>
          <w:jc w:val="center"/>
        </w:trPr>
        <w:tc>
          <w:tcPr>
            <w:tcW w:w="8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）入选竞争条件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（所提交佐证资料时间期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限为2022年-2023年6月）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8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在版权国际化、为讲好中国故事，传播好中国声音，展现可信、可爱、可敬的中国形象方面作出的长沙贡献情况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240" w:lineRule="auto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240" w:lineRule="auto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atLeast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Chars="0"/>
        <w:jc w:val="left"/>
        <w:textAlignment w:val="baseline"/>
        <w:rPr>
          <w:rFonts w:hint="default" w:ascii="Times New Roman" w:hAnsi="Times New Roman" w:eastAsia="仿宋" w:cs="Times New Roman"/>
          <w:b/>
          <w:bCs/>
          <w:spacing w:val="15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15"/>
          <w:sz w:val="32"/>
          <w:szCs w:val="32"/>
          <w:highlight w:val="none"/>
          <w:u w:val="none" w:color="auto"/>
          <w:lang w:val="en-US" w:eastAsia="zh-CN"/>
        </w:rPr>
        <w:t>4.雁阵基地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（申报雁阵基地填写该部分，请在需选填部分前打√）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196"/>
        <w:gridCol w:w="732"/>
        <w:gridCol w:w="1464"/>
        <w:gridCol w:w="1465"/>
        <w:gridCol w:w="73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（一）申报基本条件（选项1为必选，2、3选择其一）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86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理运营机构机制健全，建筑面积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万平方米以上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singl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5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文化及相关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产业链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集群企业50家以上的文化园区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；</w:t>
            </w: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具体为</w:t>
            </w: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家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文化及相关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产业链集群企业达30家且集群企业上年度营收达10亿元</w:t>
            </w: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7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具体为</w:t>
            </w: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spacing w:val="15"/>
                <w:sz w:val="24"/>
                <w:szCs w:val="24"/>
                <w:highlight w:val="none"/>
                <w:u w:val="none" w:color="auto"/>
                <w:lang w:val="en-US" w:eastAsia="zh-CN"/>
              </w:rPr>
              <w:t>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（二）入选竞争条件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（所提交佐证资料时间期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限为2022年-2023年6月）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重点文化企业引进、重大项目建设情况（重大项目为投资1000万元及以上）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9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重点文化企业引进注册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重大项目开竣工、在建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9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重大项目投资简介：（包括项目名称、项目开竣工、在建时间，投资及项目建设内容。）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（三）雁阵基地基本情况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产业链集群企业上年度营业收入总量及增幅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年度营收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2022年度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营收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2022年营收总额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增幅（%）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纳税总额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9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.产业链集群企业中规模以上文化企业、高新技术企业、“小巨人”企业数量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9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规模以上文化企业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高新技术企业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“小巨人”企业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928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8787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3.文化及相关产业链集群发展情况：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pacing w:val="15"/>
          <w:sz w:val="36"/>
          <w:szCs w:val="36"/>
          <w:highlight w:val="none"/>
          <w:u w:val="single" w:color="auto"/>
          <w:lang w:val="en-US" w:eastAsia="zh-CN"/>
        </w:rPr>
        <w:sectPr>
          <w:footerReference r:id="rId3" w:type="default"/>
          <w:pgSz w:w="11906" w:h="16838"/>
          <w:pgMar w:top="1701" w:right="1559" w:bottom="1440" w:left="1559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2023年度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长沙市文化产业“四雁引领”雁阵基地产业链集群企业情况统计表</w:t>
      </w:r>
    </w:p>
    <w:p>
      <w:pPr>
        <w:pStyle w:val="8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申报单位：                                                                    单位：万元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36"/>
        <w:gridCol w:w="1879"/>
        <w:gridCol w:w="1298"/>
        <w:gridCol w:w="1401"/>
        <w:gridCol w:w="1623"/>
        <w:gridCol w:w="1350"/>
        <w:gridCol w:w="1368"/>
        <w:gridCol w:w="855"/>
        <w:gridCol w:w="1554"/>
        <w:gridCol w:w="1111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主营业务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营收总额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营收总额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纳税总额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是否规上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文化企业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      高企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是否小巨人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pacing w:val="15"/>
          <w:sz w:val="36"/>
          <w:szCs w:val="36"/>
          <w:highlight w:val="none"/>
          <w:u w:val="single" w:color="auto"/>
          <w:lang w:val="en-US" w:eastAsia="zh-CN"/>
        </w:rPr>
        <w:sectPr>
          <w:pgSz w:w="16838" w:h="11906" w:orient="landscape"/>
          <w:pgMar w:top="1417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0A622"/>
    <w:multiLevelType w:val="singleLevel"/>
    <w:tmpl w:val="CC50A6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WVjYjIwNGQwNWI4YzJjZGQ1NTUzMmYzZGM2YWQifQ=="/>
  </w:docVars>
  <w:rsids>
    <w:rsidRoot w:val="7FAF26C1"/>
    <w:rsid w:val="7FA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2023-08-01T11:02:00Z</dcterms:created>
  <dc:creator>李卓</dc:creator>
  <cp:lastModifiedBy>李卓</cp:lastModifiedBy>
  <dcterms:modified xsi:type="dcterms:W3CDTF">2023-08-01T11:03:05Z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1C00B79EF24B44419979257F2E2DF239</vt:lpwstr>
  </property>
</Properties>
</file>