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湖南</w:t>
      </w:r>
      <w:r>
        <w:rPr>
          <w:rFonts w:hint="eastAsia" w:ascii="方正小标宋简体" w:hAnsi="方正小标宋简体" w:eastAsia="方正小标宋简体" w:cs="方正小标宋简体"/>
          <w:color w:val="000000"/>
          <w:sz w:val="44"/>
          <w:szCs w:val="44"/>
        </w:rPr>
        <w:t>新闻奖参评作品推荐表</w:t>
      </w:r>
    </w:p>
    <w:tbl>
      <w:tblPr>
        <w:tblStyle w:val="2"/>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exact"/>
          <w:jc w:val="center"/>
        </w:trPr>
        <w:tc>
          <w:tcPr>
            <w:tcW w:w="1450" w:type="dxa"/>
            <w:vMerge w:val="restart"/>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spacing w:line="260" w:lineRule="exact"/>
              <w:rPr>
                <w:rFonts w:hint="default" w:ascii="华文中宋" w:hAnsi="华文中宋" w:eastAsia="仿宋_GB2312"/>
                <w:color w:val="000000"/>
                <w:sz w:val="28"/>
                <w:lang w:val="en-US" w:eastAsia="zh-CN"/>
              </w:rPr>
            </w:pPr>
            <w:r>
              <w:rPr>
                <w:rFonts w:hint="eastAsia" w:hAnsi="仿宋_GB2312" w:cs="仿宋_GB2312"/>
                <w:color w:val="000000" w:themeColor="text1"/>
                <w:sz w:val="21"/>
                <w:szCs w:val="21"/>
                <w:lang w:val="en-US" w:eastAsia="zh-CN"/>
                <w14:textFill>
                  <w14:solidFill>
                    <w14:schemeClr w14:val="tx1"/>
                  </w14:solidFill>
                </w14:textFill>
              </w:rPr>
              <w:t>绿心的退与进</w:t>
            </w: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center"/>
              <w:rPr>
                <w:rFonts w:hint="eastAsia" w:ascii="仿宋" w:hAnsi="仿宋" w:eastAsia="仿宋" w:cs="仿宋"/>
                <w:color w:val="000000"/>
                <w:sz w:val="24"/>
                <w:szCs w:val="18"/>
                <w:lang w:eastAsia="zh-CN"/>
              </w:rPr>
            </w:pPr>
            <w:r>
              <w:rPr>
                <w:rFonts w:hint="eastAsia" w:hAnsi="仿宋_GB2312" w:cs="仿宋_GB2312"/>
                <w:color w:val="000000"/>
                <w:sz w:val="21"/>
                <w:szCs w:val="21"/>
                <w:lang w:val="en-US" w:eastAsia="zh-CN"/>
              </w:rPr>
              <w:t>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3534"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center"/>
              <w:rPr>
                <w:rFonts w:hint="eastAsia" w:ascii="仿宋_GB2312" w:hAnsi="仿宋" w:eastAsia="仿宋_GB2312"/>
                <w:color w:val="000000"/>
                <w:sz w:val="28"/>
                <w:lang w:eastAsia="zh-CN"/>
              </w:rPr>
            </w:pPr>
            <w:r>
              <w:rPr>
                <w:rFonts w:hint="eastAsia" w:hAnsi="仿宋_GB2312" w:cs="仿宋_GB2312"/>
                <w:color w:val="000000"/>
                <w:sz w:val="21"/>
                <w:szCs w:val="21"/>
                <w:lang w:val="en-US" w:eastAsia="zh-CN"/>
              </w:rPr>
              <w:t>报纸通讯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450" w:type="dxa"/>
            <w:vMerge w:val="continue"/>
            <w:vAlign w:val="center"/>
          </w:tcPr>
          <w:p>
            <w:pPr>
              <w:spacing w:line="380" w:lineRule="exact"/>
              <w:ind w:firstLine="560"/>
              <w:jc w:val="center"/>
              <w:rPr>
                <w:rFonts w:ascii="华文中宋" w:hAnsi="华文中宋" w:eastAsia="华文中宋"/>
                <w:color w:val="000000"/>
                <w:sz w:val="28"/>
              </w:rPr>
            </w:pPr>
          </w:p>
        </w:tc>
        <w:tc>
          <w:tcPr>
            <w:tcW w:w="3534" w:type="dxa"/>
            <w:gridSpan w:val="4"/>
            <w:vMerge w:val="continue"/>
            <w:vAlign w:val="center"/>
          </w:tcPr>
          <w:p>
            <w:pPr>
              <w:spacing w:line="380" w:lineRule="exact"/>
              <w:ind w:firstLine="560"/>
              <w:jc w:val="center"/>
              <w:rPr>
                <w:rFonts w:ascii="华文中宋" w:hAnsi="华文中宋" w:eastAsia="华文中宋"/>
                <w:color w:val="000000"/>
                <w:sz w:val="28"/>
              </w:rPr>
            </w:pPr>
          </w:p>
        </w:tc>
        <w:tc>
          <w:tcPr>
            <w:tcW w:w="135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rFonts w:hint="eastAsia" w:ascii="仿宋_GB2312" w:eastAsia="仿宋_GB2312"/>
                <w:color w:val="000000"/>
                <w:sz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4"/>
              </w:rPr>
              <w:t>（主创人员）</w:t>
            </w:r>
          </w:p>
        </w:tc>
        <w:tc>
          <w:tcPr>
            <w:tcW w:w="2679" w:type="dxa"/>
            <w:gridSpan w:val="2"/>
            <w:vAlign w:val="center"/>
          </w:tcPr>
          <w:p>
            <w:pPr>
              <w:spacing w:line="260" w:lineRule="exact"/>
              <w:jc w:val="center"/>
              <w:rPr>
                <w:rFonts w:hint="default" w:ascii="仿宋_GB2312" w:hAnsi="华文中宋"/>
                <w:color w:val="000000"/>
                <w:sz w:val="28"/>
                <w:lang w:val="en-US"/>
              </w:rPr>
            </w:pPr>
            <w:r>
              <w:rPr>
                <w:rFonts w:hint="eastAsia" w:hAnsi="仿宋_GB2312" w:cs="仿宋_GB2312"/>
                <w:color w:val="000000"/>
                <w:sz w:val="21"/>
                <w:szCs w:val="21"/>
                <w:lang w:val="en-US" w:eastAsia="zh-CN"/>
              </w:rPr>
              <w:t>岳冠文，聂映荣</w:t>
            </w:r>
          </w:p>
        </w:tc>
        <w:tc>
          <w:tcPr>
            <w:tcW w:w="855" w:type="dxa"/>
            <w:gridSpan w:val="2"/>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jc w:val="center"/>
              <w:rPr>
                <w:rFonts w:ascii="仿宋" w:hAnsi="仿宋" w:eastAsia="仿宋"/>
                <w:color w:val="000000"/>
                <w:w w:val="95"/>
                <w:szCs w:val="21"/>
              </w:rPr>
            </w:pPr>
            <w:r>
              <w:rPr>
                <w:rFonts w:hint="eastAsia" w:ascii="仿宋_GB2312" w:hAnsi="仿宋_GB2312" w:eastAsia="仿宋_GB2312" w:cs="仿宋_GB2312"/>
                <w:color w:val="000000"/>
                <w:sz w:val="21"/>
                <w:szCs w:val="21"/>
                <w:lang w:eastAsia="zh-CN"/>
              </w:rPr>
              <w:t>胡建红,刘琦,邓伟进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50" w:type="dxa"/>
            <w:vAlign w:val="center"/>
          </w:tcPr>
          <w:p>
            <w:pPr>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jc w:val="center"/>
              <w:rPr>
                <w:rFonts w:hint="default" w:ascii="仿宋_GB2312" w:hAnsi="仿宋" w:eastAsia="仿宋_GB2312"/>
                <w:color w:val="000000"/>
                <w:sz w:val="21"/>
                <w:szCs w:val="21"/>
                <w:lang w:val="en-US" w:eastAsia="zh-CN"/>
              </w:rPr>
            </w:pPr>
            <w:r>
              <w:rPr>
                <w:rFonts w:hint="eastAsia" w:hAnsi="仿宋_GB2312" w:cs="仿宋_GB2312"/>
                <w:color w:val="000000"/>
                <w:sz w:val="21"/>
                <w:szCs w:val="21"/>
                <w:lang w:val="en-US" w:eastAsia="zh-CN"/>
              </w:rPr>
              <w:t>长沙晚报社</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hAnsi="仿宋_GB2312" w:cs="仿宋_GB2312"/>
                <w:color w:val="000000"/>
                <w:sz w:val="21"/>
                <w:szCs w:val="21"/>
                <w:lang w:val="en-US" w:eastAsia="zh-CN"/>
              </w:rPr>
              <w:t>长沙晚报社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8" w:hRule="exact"/>
          <w:jc w:val="center"/>
        </w:trPr>
        <w:tc>
          <w:tcPr>
            <w:tcW w:w="1450" w:type="dxa"/>
            <w:vAlign w:val="center"/>
          </w:tcPr>
          <w:p>
            <w:pPr>
              <w:spacing w:line="44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tc>
        <w:tc>
          <w:tcPr>
            <w:tcW w:w="2679" w:type="dxa"/>
            <w:gridSpan w:val="2"/>
            <w:vAlign w:val="center"/>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仿宋_GB2312" w:hAnsi="仿宋" w:eastAsia="仿宋_GB2312"/>
                <w:color w:val="000000"/>
                <w:sz w:val="21"/>
                <w:szCs w:val="21"/>
                <w:lang w:val="en-US" w:eastAsia="zh-CN"/>
              </w:rPr>
            </w:pPr>
            <w:r>
              <w:rPr>
                <w:rFonts w:hint="eastAsia" w:hAnsi="仿宋"/>
                <w:color w:val="000000"/>
                <w:sz w:val="21"/>
                <w:szCs w:val="21"/>
                <w:lang w:val="en-US" w:eastAsia="zh-CN"/>
              </w:rPr>
              <w:t>1版</w:t>
            </w:r>
          </w:p>
        </w:tc>
        <w:tc>
          <w:tcPr>
            <w:tcW w:w="855" w:type="dxa"/>
            <w:gridSpan w:val="2"/>
            <w:vAlign w:val="center"/>
          </w:tcPr>
          <w:p>
            <w:pPr>
              <w:spacing w:line="40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jc w:val="center"/>
              <w:rPr>
                <w:rFonts w:hint="eastAsia" w:ascii="仿宋_GB2312" w:hAnsi="仿宋" w:eastAsia="仿宋_GB2312"/>
                <w:color w:val="000000"/>
                <w:szCs w:val="21"/>
                <w:lang w:val="en-US" w:eastAsia="zh-CN"/>
              </w:rPr>
            </w:pPr>
            <w:r>
              <w:rPr>
                <w:rFonts w:hint="eastAsia" w:ascii="仿宋_GB2312" w:hAnsi="仿宋_GB2312" w:eastAsia="仿宋_GB2312" w:cs="仿宋_GB2312"/>
                <w:color w:val="000000"/>
                <w:sz w:val="21"/>
                <w:szCs w:val="21"/>
              </w:rPr>
              <w:t>2022</w:t>
            </w:r>
            <w:r>
              <w:rPr>
                <w:rFonts w:hint="eastAsia" w:hAnsi="仿宋_GB2312" w:cs="仿宋_GB2312"/>
                <w:color w:val="000000"/>
                <w:sz w:val="21"/>
                <w:szCs w:val="21"/>
                <w:lang w:val="en-US" w:eastAsia="zh-CN"/>
              </w:rPr>
              <w:t>年10月8日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2827" w:type="dxa"/>
            <w:gridSpan w:val="2"/>
            <w:vAlign w:val="center"/>
          </w:tcPr>
          <w:p>
            <w:pPr>
              <w:spacing w:line="34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3" w:hRule="atLeast"/>
          <w:jc w:val="center"/>
        </w:trPr>
        <w:tc>
          <w:tcPr>
            <w:tcW w:w="1450" w:type="dxa"/>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eastAsia" w:hAnsi="仿宋_GB2312" w:cs="仿宋_GB2312"/>
                <w:color w:val="000000"/>
                <w:sz w:val="21"/>
                <w:szCs w:val="21"/>
                <w:lang w:val="en-US" w:eastAsia="zh-CN"/>
              </w:rPr>
            </w:pPr>
            <w:r>
              <w:rPr>
                <w:rFonts w:hint="eastAsia" w:hAnsi="仿宋_GB2312" w:cs="仿宋_GB2312"/>
                <w:color w:val="000000"/>
                <w:sz w:val="21"/>
                <w:szCs w:val="21"/>
                <w:lang w:val="en-US" w:eastAsia="zh-CN"/>
              </w:rPr>
              <w:t>习近平总书记曾先后就长株潭生态绿心、长株潭一体化作出重要指示，在长株潭一体化发展的核心区域——长沙南部融城片区的绿心范围内，大量工业企业全面整改退出，所在地块向绿色转型。记者在其中抓取了一个典型切口：对于最早招商引入的世界500强外资企业之一，长沙为绿色发展同样割舍“心头肉”，完成该工业企业退出。后来，这片地方导入绿色产业——湖南投资最大的数字新基建项目“天翼云”。</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default" w:hAnsi="仿宋_GB2312" w:cs="仿宋_GB2312"/>
                <w:color w:val="000000"/>
                <w:sz w:val="21"/>
                <w:szCs w:val="21"/>
                <w:lang w:val="en-US" w:eastAsia="zh-CN"/>
              </w:rPr>
            </w:pPr>
            <w:r>
              <w:rPr>
                <w:rFonts w:hint="eastAsia" w:hAnsi="仿宋_GB2312" w:cs="仿宋_GB2312"/>
                <w:color w:val="000000"/>
                <w:sz w:val="21"/>
                <w:szCs w:val="21"/>
                <w:lang w:val="en-US" w:eastAsia="zh-CN"/>
              </w:rPr>
              <w:t>在探访多方、搜集详实基础资料的同时，记者先后三次前往该处深入采访，了解各方在“一退一进”中所付出的努力及守护生态绿心的决心。记者梳理脉络、精心写作，编辑反复打磨，最后在长沙晚报“奋力强省会 喜迎二十大”专栏，以头版头条刊发。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7" w:hRule="exact"/>
          <w:jc w:val="center"/>
        </w:trPr>
        <w:tc>
          <w:tcPr>
            <w:tcW w:w="14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eastAsia" w:hAnsi="仿宋_GB2312" w:cs="仿宋_GB2312"/>
                <w:color w:val="000000"/>
                <w:sz w:val="21"/>
                <w:szCs w:val="21"/>
                <w:lang w:val="en-US" w:eastAsia="zh-CN"/>
              </w:rPr>
            </w:pPr>
            <w:r>
              <w:rPr>
                <w:rFonts w:hint="eastAsia" w:hAnsi="仿宋_GB2312" w:cs="仿宋_GB2312"/>
                <w:color w:val="000000"/>
                <w:sz w:val="21"/>
                <w:szCs w:val="21"/>
                <w:lang w:val="en-US" w:eastAsia="zh-CN"/>
              </w:rPr>
              <w:t>绿水青山就是金山银山，长株潭生态绿心是世界上最大的城市群绿心，对于长株潭乃至湖南绿色发展的重要性不言而喻。在党的二十大即将召开之际，在深入贯彻习近平生态文明思想和加快推进长株潭都市圈发展的大背景下，该报道通过典型事例，以“退”表明了长株潭守护生态绿心的坚定决心；以“进”展现了长沙乃至湖南对绿色发展的大力推进，以“转”说明了生态文明建设大有可为的前景，在相关部门、社会各界有着很好反响。报道刊发后，不少网站纷纷转发，诸多媒体跟进报道，持续关注相关项目进展，</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default" w:hAnsi="仿宋_GB2312" w:cs="仿宋_GB2312"/>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exact"/>
          <w:jc w:val="center"/>
        </w:trPr>
        <w:tc>
          <w:tcPr>
            <w:tcW w:w="1450"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both"/>
              <w:textAlignment w:val="auto"/>
              <w:rPr>
                <w:rFonts w:hint="default" w:hAnsi="仿宋_GB2312" w:cs="仿宋_GB2312"/>
                <w:color w:val="000000"/>
                <w:sz w:val="21"/>
                <w:szCs w:val="21"/>
                <w:lang w:val="en-US" w:eastAsia="zh-CN"/>
              </w:rPr>
            </w:pPr>
            <w:r>
              <w:rPr>
                <w:rFonts w:hint="eastAsia" w:hAnsi="仿宋_GB2312" w:cs="仿宋_GB2312"/>
                <w:color w:val="000000"/>
                <w:sz w:val="21"/>
                <w:szCs w:val="21"/>
                <w:lang w:val="en-US" w:eastAsia="zh-CN"/>
              </w:rPr>
              <w:t>该报道在题材上选题精准，切入角度新颖，通过极为典型的案例，融入大时代背景，展现了落实“三高四新”战略定位和使命任务、推进长株潭都市圈建设及绿色发展的精彩实践；在稿件呈现上，以点带面，有细节、视野广，且通过“进”“退”“转”三段着笔，层次分明，逻辑清晰，</w:t>
            </w:r>
          </w:p>
          <w:p>
            <w:pPr>
              <w:spacing w:line="360" w:lineRule="exact"/>
              <w:rPr>
                <w:rFonts w:ascii="华文中宋" w:hAnsi="华文中宋" w:eastAsia="华文中宋"/>
                <w:color w:val="000000"/>
                <w:sz w:val="28"/>
                <w:szCs w:val="28"/>
              </w:rPr>
            </w:pPr>
            <w:r>
              <w:rPr>
                <w:rFonts w:hint="eastAsia" w:ascii="华文中宋" w:hAnsi="华文中宋" w:eastAsia="华文中宋"/>
                <w:color w:val="000000"/>
                <w:spacing w:val="-2"/>
                <w:sz w:val="21"/>
                <w:szCs w:val="21"/>
                <w:lang w:val="en-US" w:eastAsia="zh-CN"/>
              </w:rPr>
              <w:t xml:space="preserve">     </w:t>
            </w:r>
            <w:r>
              <w:rPr>
                <w:rFonts w:hint="eastAsia" w:ascii="华文中宋" w:hAnsi="华文中宋" w:eastAsia="华文中宋"/>
                <w:color w:val="000000"/>
                <w:spacing w:val="-2"/>
                <w:sz w:val="28"/>
                <w:szCs w:val="28"/>
                <w:lang w:val="en-US" w:eastAsia="zh-CN"/>
              </w:rPr>
              <w:t xml:space="preserve">                      </w:t>
            </w:r>
            <w:r>
              <w:rPr>
                <w:rFonts w:hint="eastAsia" w:ascii="华文中宋" w:hAnsi="华文中宋" w:eastAsia="华文中宋"/>
                <w:color w:val="000000"/>
                <w:spacing w:val="-2"/>
                <w:sz w:val="28"/>
                <w:szCs w:val="28"/>
              </w:rPr>
              <w:t>签名：</w:t>
            </w:r>
            <w:r>
              <w:rPr>
                <w:rFonts w:hint="eastAsia" w:ascii="华文中宋" w:hAnsi="华文中宋" w:eastAsia="华文中宋"/>
                <w:color w:val="000000"/>
                <w:sz w:val="28"/>
              </w:rPr>
              <w:t>（盖单位公章）</w:t>
            </w:r>
          </w:p>
          <w:p>
            <w:pPr>
              <w:ind w:leftChars="1600" w:firstLine="560" w:firstLineChars="200"/>
              <w:jc w:val="both"/>
              <w:rPr>
                <w:rFonts w:ascii="仿宋" w:hAnsi="仿宋" w:eastAsia="仿宋"/>
                <w:color w:val="000000"/>
                <w:szCs w:val="21"/>
              </w:rPr>
            </w:pPr>
            <w:r>
              <w:rPr>
                <w:rFonts w:ascii="华文中宋" w:hAnsi="华文中宋" w:eastAsia="华文中宋"/>
                <w:color w:val="000000"/>
                <w:sz w:val="28"/>
                <w:szCs w:val="28"/>
              </w:rPr>
              <w:t>20</w:t>
            </w:r>
            <w:r>
              <w:rPr>
                <w:rFonts w:hint="eastAsia" w:ascii="华文中宋" w:hAnsi="华文中宋" w:eastAsia="华文中宋"/>
                <w:color w:val="000000"/>
                <w:sz w:val="28"/>
                <w:szCs w:val="28"/>
              </w:rPr>
              <w:t>23</w:t>
            </w:r>
            <w:r>
              <w:rPr>
                <w:rFonts w:ascii="华文中宋" w:hAnsi="华文中宋" w:eastAsia="华文中宋"/>
                <w:color w:val="000000"/>
                <w:sz w:val="28"/>
                <w:szCs w:val="28"/>
              </w:rPr>
              <w:t>年</w:t>
            </w:r>
            <w:r>
              <w:rPr>
                <w:rFonts w:hint="eastAsia" w:ascii="华文中宋" w:hAnsi="华文中宋" w:eastAsia="华文中宋"/>
                <w:color w:val="000000"/>
                <w:sz w:val="28"/>
                <w:szCs w:val="28"/>
                <w:lang w:val="en-US" w:eastAsia="zh-CN"/>
              </w:rPr>
              <w:t xml:space="preserve">  </w:t>
            </w:r>
            <w:r>
              <w:rPr>
                <w:rFonts w:hint="eastAsia" w:ascii="华文中宋" w:hAnsi="华文中宋" w:eastAsia="华文中宋"/>
                <w:color w:val="000000"/>
                <w:sz w:val="28"/>
                <w:szCs w:val="28"/>
              </w:rPr>
              <w:t>月</w:t>
            </w:r>
            <w:r>
              <w:rPr>
                <w:rFonts w:hint="eastAsia" w:ascii="华文中宋" w:hAnsi="华文中宋" w:eastAsia="华文中宋"/>
                <w:color w:val="000000"/>
                <w:sz w:val="28"/>
                <w:szCs w:val="28"/>
                <w:lang w:val="en-US" w:eastAsia="zh-CN"/>
              </w:rPr>
              <w:t xml:space="preserve"> </w:t>
            </w:r>
            <w:r>
              <w:rPr>
                <w:rFonts w:ascii="华文中宋" w:hAnsi="华文中宋" w:eastAsia="华文中宋"/>
                <w:color w:val="000000"/>
                <w:sz w:val="28"/>
                <w:szCs w:val="28"/>
              </w:rPr>
              <w:t xml:space="preserve"> </w:t>
            </w:r>
            <w:r>
              <w:rPr>
                <w:rFonts w:hint="eastAsia" w:ascii="华文中宋" w:hAnsi="华文中宋" w:eastAsia="华文中宋"/>
                <w:color w:val="000000"/>
                <w:sz w:val="28"/>
                <w:szCs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450" w:type="dxa"/>
            <w:tcBorders>
              <w:bottom w:val="single" w:color="auto" w:sz="4" w:space="0"/>
            </w:tcBorders>
            <w:vAlign w:val="center"/>
          </w:tcPr>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rPr>
              <w:t>联系人</w:t>
            </w:r>
            <w:r>
              <w:rPr>
                <w:rFonts w:hint="eastAsia" w:ascii="华文中宋" w:hAnsi="华文中宋" w:eastAsia="华文中宋"/>
                <w:color w:val="000000"/>
                <w:sz w:val="28"/>
                <w:lang w:eastAsia="zh-CN"/>
              </w:rPr>
              <w:t>（作者）</w:t>
            </w:r>
          </w:p>
        </w:tc>
        <w:tc>
          <w:tcPr>
            <w:tcW w:w="2957" w:type="dxa"/>
            <w:gridSpan w:val="3"/>
            <w:tcBorders>
              <w:bottom w:val="single" w:color="auto" w:sz="4" w:space="0"/>
            </w:tcBorders>
            <w:vAlign w:val="center"/>
          </w:tcPr>
          <w:p>
            <w:pPr>
              <w:ind w:firstLine="560"/>
              <w:jc w:val="center"/>
              <w:rPr>
                <w:rFonts w:hint="eastAsia" w:ascii="华文中宋" w:hAnsi="华文中宋" w:eastAsia="华文中宋"/>
                <w:color w:val="000000"/>
                <w:sz w:val="28"/>
                <w:lang w:val="en-US" w:eastAsia="zh-CN"/>
              </w:rPr>
            </w:pPr>
            <w:r>
              <w:rPr>
                <w:rFonts w:hint="eastAsia" w:ascii="仿宋_GB2312" w:hAnsi="仿宋_GB2312" w:eastAsia="仿宋_GB2312" w:cs="仿宋_GB2312"/>
                <w:color w:val="000000"/>
                <w:sz w:val="21"/>
                <w:szCs w:val="21"/>
                <w:lang w:val="en-US" w:eastAsia="zh-CN"/>
              </w:rPr>
              <w:t>聂映荣</w:t>
            </w:r>
          </w:p>
        </w:tc>
        <w:tc>
          <w:tcPr>
            <w:tcW w:w="1137"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jc w:val="center"/>
              <w:rPr>
                <w:rFonts w:hint="default" w:ascii="华文中宋" w:hAnsi="华文中宋" w:eastAsia="华文中宋"/>
                <w:color w:val="000000"/>
                <w:sz w:val="28"/>
                <w:lang w:val="en-US" w:eastAsia="zh-CN"/>
              </w:rPr>
            </w:pPr>
            <w:r>
              <w:rPr>
                <w:rFonts w:hint="eastAsia" w:ascii="仿宋_GB2312" w:hAnsi="仿宋_GB2312" w:eastAsia="仿宋_GB2312" w:cs="仿宋_GB2312"/>
                <w:color w:val="000000"/>
                <w:sz w:val="21"/>
                <w:szCs w:val="21"/>
                <w:lang w:val="en-US" w:eastAsia="zh-CN"/>
              </w:rPr>
              <w:t>18670765052</w:t>
            </w:r>
          </w:p>
        </w:tc>
      </w:tr>
    </w:tbl>
    <w:p>
      <w:pPr>
        <w:jc w:val="center"/>
        <w:rPr>
          <w:rFonts w:hint="eastAsia" w:eastAsia="仿宋_GB2312"/>
          <w:lang w:eastAsia="zh-CN"/>
        </w:rPr>
      </w:pPr>
      <w:r>
        <w:rPr>
          <w:rFonts w:hint="eastAsia" w:eastAsia="仿宋_GB2312"/>
          <w:lang w:eastAsia="zh-CN"/>
        </w:rPr>
        <w:drawing>
          <wp:inline distT="0" distB="0" distL="114300" distR="114300">
            <wp:extent cx="2266950" cy="2266950"/>
            <wp:effectExtent l="0" t="0" r="0" b="0"/>
            <wp:docPr id="1" name="图片 1" descr="绿心的退与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绿心的退与进"/>
                    <pic:cNvPicPr>
                      <a:picLocks noChangeAspect="1"/>
                    </pic:cNvPicPr>
                  </pic:nvPicPr>
                  <pic:blipFill>
                    <a:blip r:embed="rId6"/>
                    <a:stretch>
                      <a:fillRect/>
                    </a:stretch>
                  </pic:blipFill>
                  <pic:spPr>
                    <a:xfrm>
                      <a:off x="0" y="0"/>
                      <a:ext cx="2266950" cy="2266950"/>
                    </a:xfrm>
                    <a:prstGeom prst="rect">
                      <a:avLst/>
                    </a:prstGeom>
                  </pic:spPr>
                </pic:pic>
              </a:graphicData>
            </a:graphic>
          </wp:inline>
        </w:drawing>
      </w:r>
    </w:p>
    <w:p>
      <w:pPr>
        <w:jc w:val="center"/>
        <w:rPr>
          <w:rFonts w:hint="eastAsia" w:eastAsia="仿宋_GB2312"/>
          <w:lang w:eastAsia="zh-CN"/>
        </w:rPr>
      </w:pPr>
      <w:r>
        <w:rPr>
          <w:rFonts w:hint="eastAsia" w:hAnsi="仿宋_GB2312" w:cs="仿宋_GB2312"/>
          <w:color w:val="000000" w:themeColor="text1"/>
          <w:sz w:val="21"/>
          <w:szCs w:val="21"/>
          <w:lang w:val="en-US" w:eastAsia="zh-CN"/>
          <w14:textFill>
            <w14:solidFill>
              <w14:schemeClr w14:val="tx1"/>
            </w14:solidFill>
          </w14:textFill>
        </w:rPr>
        <w:t>绿心的退与进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QwZDMwMGQ1YmFlYWI0Y2Y1N2NlYWM2ODA2NWMifQ=="/>
  </w:docVars>
  <w:rsids>
    <w:rsidRoot w:val="15202CB8"/>
    <w:rsid w:val="04510A56"/>
    <w:rsid w:val="08A7115E"/>
    <w:rsid w:val="08D04992"/>
    <w:rsid w:val="15202CB8"/>
    <w:rsid w:val="334C551F"/>
    <w:rsid w:val="521406E9"/>
    <w:rsid w:val="786E3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804</Words>
  <Characters>823</Characters>
  <Lines>0</Lines>
  <Paragraphs>0</Paragraphs>
  <TotalTime>0</TotalTime>
  <ScaleCrop>false</ScaleCrop>
  <LinksUpToDate>false</LinksUpToDate>
  <CharactersWithSpaces>865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2023-03-10T03:32:00Z</dcterms:created>
  <dc:creator>聂映荣</dc:creator>
  <cp:lastModifiedBy>吴海燕</cp:lastModifiedBy>
  <cp:lastPrinted>2023-03-10T08:34:00Z</cp:lastPrinted>
  <dcterms:modified xsi:type="dcterms:W3CDTF">2023-03-13T07:27:47Z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C558B6E69C104FC18A4C6CE954B90274</vt:lpwstr>
  </property>
</Properties>
</file>